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D32" w:rsidRDefault="00197D32" w:rsidP="00197D32">
      <w:pPr>
        <w:pStyle w:val="Naslov2"/>
        <w:jc w:val="center"/>
      </w:pPr>
      <w:r>
        <w:rPr>
          <w:spacing w:val="-2"/>
          <w:u w:val="single"/>
        </w:rPr>
        <w:t>Obrazloženje</w:t>
      </w:r>
    </w:p>
    <w:p w:rsidR="00127B61" w:rsidRDefault="00197D32" w:rsidP="00197D32">
      <w:pPr>
        <w:spacing w:before="75" w:line="480" w:lineRule="auto"/>
        <w:ind w:left="849" w:right="3931"/>
        <w:jc w:val="center"/>
        <w:rPr>
          <w:b/>
          <w:sz w:val="24"/>
        </w:rPr>
      </w:pPr>
      <w:r>
        <w:rPr>
          <w:b/>
          <w:sz w:val="24"/>
        </w:rPr>
        <w:t xml:space="preserve">        </w:t>
      </w:r>
    </w:p>
    <w:p w:rsidR="00197D32" w:rsidRPr="00197D32" w:rsidRDefault="00197D32" w:rsidP="00197D32">
      <w:pPr>
        <w:ind w:right="7678"/>
        <w:rPr>
          <w:sz w:val="24"/>
          <w:u w:val="single"/>
        </w:rPr>
      </w:pPr>
      <w:r w:rsidRPr="00197D32">
        <w:rPr>
          <w:sz w:val="24"/>
          <w:u w:val="single"/>
        </w:rPr>
        <w:t>Pravni temelj</w:t>
      </w:r>
      <w:bookmarkStart w:id="0" w:name="_GoBack"/>
      <w:bookmarkEnd w:id="0"/>
    </w:p>
    <w:p w:rsidR="00197D32" w:rsidRPr="00197D32" w:rsidRDefault="00197D32" w:rsidP="00197D32">
      <w:pPr>
        <w:ind w:right="7678"/>
        <w:rPr>
          <w:rFonts w:ascii="Times New Roman" w:eastAsia="Times New Roman" w:hAnsi="Times New Roman" w:cs="Times New Roman"/>
          <w:b/>
          <w:sz w:val="24"/>
        </w:rPr>
      </w:pPr>
    </w:p>
    <w:p w:rsidR="00197D32" w:rsidRDefault="00197D32" w:rsidP="00197D32">
      <w:pPr>
        <w:pStyle w:val="Tijeloteksta"/>
        <w:ind w:left="141" w:right="487"/>
      </w:pPr>
      <w:r>
        <w:t>Zakon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plaćama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lokalnoj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područnoj (regionalnoj)</w:t>
      </w:r>
      <w:r>
        <w:rPr>
          <w:spacing w:val="-4"/>
        </w:rPr>
        <w:t xml:space="preserve"> </w:t>
      </w:r>
      <w:r>
        <w:t>samoupravi</w:t>
      </w:r>
      <w:r>
        <w:rPr>
          <w:spacing w:val="-5"/>
        </w:rPr>
        <w:t xml:space="preserve"> </w:t>
      </w:r>
      <w:r>
        <w:t>(„Narodne</w:t>
      </w:r>
      <w:r>
        <w:rPr>
          <w:spacing w:val="-1"/>
        </w:rPr>
        <w:t xml:space="preserve"> </w:t>
      </w:r>
      <w:r>
        <w:t>novine“,</w:t>
      </w:r>
      <w:r>
        <w:rPr>
          <w:spacing w:val="-4"/>
        </w:rPr>
        <w:t xml:space="preserve"> </w:t>
      </w:r>
      <w:r>
        <w:t>broj 28/10 i 10/23)</w:t>
      </w:r>
    </w:p>
    <w:p w:rsidR="00197D32" w:rsidRDefault="00197D32" w:rsidP="00197D32">
      <w:pPr>
        <w:pStyle w:val="Tijeloteksta"/>
        <w:ind w:left="141" w:right="487"/>
      </w:pPr>
      <w:r>
        <w:t>Uredba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klasifikaciji</w:t>
      </w:r>
      <w:r>
        <w:rPr>
          <w:spacing w:val="-5"/>
        </w:rPr>
        <w:t xml:space="preserve"> </w:t>
      </w:r>
      <w:r>
        <w:t>radnih</w:t>
      </w:r>
      <w:r>
        <w:rPr>
          <w:spacing w:val="-4"/>
        </w:rPr>
        <w:t xml:space="preserve"> </w:t>
      </w:r>
      <w:r>
        <w:t>mjesta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lokalnoj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područnoj</w:t>
      </w:r>
      <w:r>
        <w:rPr>
          <w:spacing w:val="-5"/>
        </w:rPr>
        <w:t xml:space="preserve"> </w:t>
      </w:r>
      <w:r>
        <w:t>(regionalnoj)</w:t>
      </w:r>
      <w:r>
        <w:rPr>
          <w:spacing w:val="-4"/>
        </w:rPr>
        <w:t xml:space="preserve"> </w:t>
      </w:r>
      <w:r>
        <w:t>samoupravi („Narodne novine“ broj 74/10,125/14 i 48/23)</w:t>
      </w:r>
    </w:p>
    <w:p w:rsidR="00197D32" w:rsidRDefault="00197D32" w:rsidP="00197D32">
      <w:pPr>
        <w:pStyle w:val="Tijeloteksta"/>
        <w:ind w:left="141"/>
      </w:pPr>
      <w:r>
        <w:t>Statut</w:t>
      </w:r>
      <w:r>
        <w:rPr>
          <w:spacing w:val="-7"/>
        </w:rPr>
        <w:t xml:space="preserve"> </w:t>
      </w:r>
      <w:r>
        <w:t>Grada</w:t>
      </w:r>
      <w:r>
        <w:rPr>
          <w:spacing w:val="-4"/>
        </w:rPr>
        <w:t xml:space="preserve"> </w:t>
      </w:r>
      <w:r>
        <w:t>Drniša („Službeni glasnik</w:t>
      </w:r>
      <w:r>
        <w:rPr>
          <w:spacing w:val="-4"/>
        </w:rPr>
        <w:t xml:space="preserve"> </w:t>
      </w:r>
      <w:r>
        <w:t>Grada</w:t>
      </w:r>
      <w:r>
        <w:rPr>
          <w:spacing w:val="-4"/>
        </w:rPr>
        <w:t xml:space="preserve"> </w:t>
      </w:r>
      <w:r>
        <w:t>Drniša“</w:t>
      </w:r>
      <w:r>
        <w:rPr>
          <w:spacing w:val="-5"/>
        </w:rPr>
        <w:t xml:space="preserve"> </w:t>
      </w:r>
      <w:r>
        <w:t>broj</w:t>
      </w:r>
      <w:r>
        <w:rPr>
          <w:spacing w:val="-4"/>
        </w:rPr>
        <w:t xml:space="preserve"> </w:t>
      </w:r>
      <w:r>
        <w:t>2/21 i 2/22</w:t>
      </w:r>
      <w:r>
        <w:rPr>
          <w:spacing w:val="-2"/>
        </w:rPr>
        <w:t>)</w:t>
      </w:r>
    </w:p>
    <w:p w:rsidR="00197D32" w:rsidRDefault="00197D32" w:rsidP="00197D32">
      <w:pPr>
        <w:pStyle w:val="Tijeloteksta"/>
        <w:rPr>
          <w:b/>
        </w:rPr>
      </w:pPr>
    </w:p>
    <w:p w:rsidR="00197D32" w:rsidRDefault="00197D32" w:rsidP="00197D32">
      <w:pPr>
        <w:pStyle w:val="Tijeloteksta"/>
        <w:ind w:left="141" w:right="140"/>
        <w:jc w:val="both"/>
      </w:pPr>
      <w:r>
        <w:rPr>
          <w:color w:val="212121"/>
        </w:rPr>
        <w:t>Prijedlogom Odluke o koeficijentima za obračun plaće službenika i namještenika u upravnim tijelima Grada Drniša koeficijenti se utvrđuju sukladno odredbama Uredbe o klasifikaciji radnih mjesta u lokalnoj i područnoj (regionalnoj) samoupravi za svako radno mjesto. Raspon koeficijenata određen je</w:t>
      </w:r>
      <w:r>
        <w:rPr>
          <w:color w:val="212121"/>
        </w:rPr>
        <w:t xml:space="preserve"> u rasponu od 1,00 do 6,00</w:t>
      </w:r>
      <w:r>
        <w:rPr>
          <w:color w:val="212121"/>
        </w:rPr>
        <w:t xml:space="preserve"> sukladno</w:t>
      </w:r>
      <w:r>
        <w:rPr>
          <w:color w:val="212121"/>
        </w:rPr>
        <w:t xml:space="preserve"> članku 10. Zakona</w:t>
      </w:r>
      <w:r>
        <w:rPr>
          <w:color w:val="212121"/>
        </w:rPr>
        <w:t xml:space="preserve"> o plaćama u lokalnoj i područnoj (regionalnoj) samoupravi. S obzirom da se koeficijenti za obračun plaća službenika i namještenika nisu mijenjali od 2015. godine („Službeni glasnik Grada Drniša“ broj 1/15) potrebno je uskladiti plaće službenika i namještenika u gradskoj upravi Grada Drniša s</w:t>
      </w:r>
      <w:r>
        <w:rPr>
          <w:color w:val="212121"/>
        </w:rPr>
        <w:t xml:space="preserve"> postojećim zakonom</w:t>
      </w:r>
      <w:r>
        <w:rPr>
          <w:color w:val="212121"/>
        </w:rPr>
        <w:t xml:space="preserve">. Predloženom Odlukom izvršeno je usklađenje pojedinih koeficijenata ovisno o složenosti obavljanja poslova pojedinih radnih mjesta. </w:t>
      </w:r>
    </w:p>
    <w:p w:rsidR="00197D32" w:rsidRDefault="00197D32" w:rsidP="00197D32">
      <w:pPr>
        <w:pStyle w:val="Naslov2"/>
        <w:rPr>
          <w:spacing w:val="-2"/>
          <w:u w:val="single"/>
        </w:rPr>
      </w:pPr>
    </w:p>
    <w:p w:rsidR="00127B61" w:rsidRDefault="00127B61" w:rsidP="00127B61">
      <w:pPr>
        <w:spacing w:before="75" w:line="480" w:lineRule="auto"/>
        <w:ind w:left="849" w:right="3931"/>
        <w:jc w:val="center"/>
        <w:rPr>
          <w:b/>
          <w:sz w:val="24"/>
        </w:rPr>
      </w:pPr>
      <w:r>
        <w:rPr>
          <w:b/>
          <w:sz w:val="24"/>
        </w:rPr>
        <w:t>Pravni okvir za donošenje Odluke</w:t>
      </w:r>
    </w:p>
    <w:p w:rsidR="00127B61" w:rsidRDefault="00127B61" w:rsidP="00127B61">
      <w:pPr>
        <w:pStyle w:val="Tijeloteksta"/>
        <w:spacing w:before="1"/>
        <w:ind w:left="141" w:right="145" w:firstLine="707"/>
        <w:jc w:val="both"/>
      </w:pPr>
      <w:r>
        <w:t>Člankom 10. Stavak 1. Zakona o plaćama u lokalnoj i područnoj (regionalnoj) samoupravi ("Narodne novine", broj 28/10</w:t>
      </w:r>
      <w:r w:rsidR="002521F2">
        <w:t xml:space="preserve"> i 10/23</w:t>
      </w:r>
      <w:r>
        <w:t>) propisano je da</w:t>
      </w:r>
      <w:r>
        <w:rPr>
          <w:spacing w:val="40"/>
        </w:rPr>
        <w:t xml:space="preserve"> </w:t>
      </w:r>
      <w:r>
        <w:t>koeficijente za obračun plaće službenika i namještenika u upravnim odjelima i službama jedinica lokalne i područne (regionalne) samouprave određuje odlukom predstavničko tijelo jedinice lokalne i područne (regionalne) samouprave, na prijedlog župana, gradonačelnika, odnosno općinskog načelnika.</w:t>
      </w:r>
    </w:p>
    <w:p w:rsidR="00127B61" w:rsidRDefault="00127B61" w:rsidP="00127B61">
      <w:pPr>
        <w:pStyle w:val="Tijeloteksta"/>
        <w:ind w:left="141" w:right="145" w:firstLine="707"/>
        <w:jc w:val="both"/>
        <w:rPr>
          <w:rFonts w:ascii="Times New Roman" w:hAnsi="Times New Roman"/>
          <w:sz w:val="20"/>
        </w:rPr>
      </w:pPr>
      <w:r>
        <w:t>Prema</w:t>
      </w:r>
      <w:r>
        <w:rPr>
          <w:spacing w:val="-3"/>
        </w:rPr>
        <w:t xml:space="preserve"> </w:t>
      </w:r>
      <w:r>
        <w:t>Zakonu,</w:t>
      </w:r>
      <w:r>
        <w:rPr>
          <w:spacing w:val="-4"/>
        </w:rPr>
        <w:t xml:space="preserve"> </w:t>
      </w:r>
      <w:r>
        <w:t>plaću</w:t>
      </w:r>
      <w:r>
        <w:rPr>
          <w:spacing w:val="-5"/>
        </w:rPr>
        <w:t xml:space="preserve"> </w:t>
      </w:r>
      <w:r>
        <w:t>službenika,</w:t>
      </w:r>
      <w:r>
        <w:rPr>
          <w:spacing w:val="-4"/>
        </w:rPr>
        <w:t xml:space="preserve"> </w:t>
      </w:r>
      <w:r>
        <w:t>odnosno</w:t>
      </w:r>
      <w:r>
        <w:rPr>
          <w:spacing w:val="-4"/>
        </w:rPr>
        <w:t xml:space="preserve"> </w:t>
      </w:r>
      <w:r>
        <w:t>namještenika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upravnim</w:t>
      </w:r>
      <w:r>
        <w:rPr>
          <w:spacing w:val="-3"/>
        </w:rPr>
        <w:t xml:space="preserve"> </w:t>
      </w:r>
      <w:r>
        <w:t>odjelima</w:t>
      </w:r>
      <w:r>
        <w:rPr>
          <w:spacing w:val="-1"/>
        </w:rPr>
        <w:t xml:space="preserve"> </w:t>
      </w:r>
      <w:r>
        <w:t>i službama jedinica lokalne i područne (regionalne) samouprave čini umnožak koeficijenta složenosti poslova radnog mjesta na koje je službenik, odnosno namještenik raspoređen i osnovice za obračun plaće, uvećan za 0,5% za svaku navršenu godinu radnog staža</w:t>
      </w:r>
      <w:r>
        <w:rPr>
          <w:rFonts w:ascii="Times New Roman" w:hAnsi="Times New Roman"/>
          <w:sz w:val="20"/>
        </w:rPr>
        <w:t>.</w:t>
      </w:r>
    </w:p>
    <w:p w:rsidR="00127B61" w:rsidRDefault="00127B61" w:rsidP="00127B61">
      <w:pPr>
        <w:pStyle w:val="Tijeloteksta"/>
        <w:spacing w:before="1"/>
        <w:ind w:left="141" w:right="136" w:firstLine="707"/>
        <w:jc w:val="both"/>
      </w:pPr>
      <w:r>
        <w:t>Uredbom o klasifikaciji radnih mjesta u lokalnoj i područnoj (regionalnoj) samoupravi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“Narodne</w:t>
      </w:r>
      <w:r>
        <w:rPr>
          <w:spacing w:val="-4"/>
        </w:rPr>
        <w:t xml:space="preserve"> </w:t>
      </w:r>
      <w:r>
        <w:t>novine”</w:t>
      </w:r>
      <w:r>
        <w:rPr>
          <w:spacing w:val="-5"/>
        </w:rPr>
        <w:t xml:space="preserve"> </w:t>
      </w:r>
      <w:r>
        <w:t>broj</w:t>
      </w:r>
      <w:r>
        <w:rPr>
          <w:spacing w:val="-2"/>
        </w:rPr>
        <w:t xml:space="preserve"> </w:t>
      </w:r>
      <w:r>
        <w:t>74/10,</w:t>
      </w:r>
      <w:r>
        <w:rPr>
          <w:spacing w:val="-2"/>
        </w:rPr>
        <w:t xml:space="preserve"> </w:t>
      </w:r>
      <w:r>
        <w:t>125/14</w:t>
      </w:r>
      <w:r w:rsidR="002521F2">
        <w:t xml:space="preserve"> 48/23</w:t>
      </w:r>
      <w:r>
        <w:t>)</w:t>
      </w:r>
      <w:r>
        <w:rPr>
          <w:spacing w:val="40"/>
        </w:rPr>
        <w:t xml:space="preserve"> </w:t>
      </w:r>
      <w:r>
        <w:t>propisani</w:t>
      </w:r>
      <w:r>
        <w:rPr>
          <w:spacing w:val="-2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nazivi</w:t>
      </w:r>
      <w:r>
        <w:rPr>
          <w:spacing w:val="-3"/>
        </w:rPr>
        <w:t xml:space="preserve"> </w:t>
      </w:r>
      <w:r>
        <w:t>radnih</w:t>
      </w:r>
      <w:r>
        <w:rPr>
          <w:spacing w:val="-4"/>
        </w:rPr>
        <w:t xml:space="preserve"> </w:t>
      </w:r>
      <w:r>
        <w:t>mjesta, te</w:t>
      </w:r>
      <w:r>
        <w:rPr>
          <w:spacing w:val="-14"/>
        </w:rPr>
        <w:t xml:space="preserve"> </w:t>
      </w:r>
      <w:r>
        <w:t>su</w:t>
      </w:r>
      <w:r>
        <w:rPr>
          <w:spacing w:val="-14"/>
        </w:rPr>
        <w:t xml:space="preserve"> </w:t>
      </w:r>
      <w:r>
        <w:t>radna</w:t>
      </w:r>
      <w:r>
        <w:rPr>
          <w:spacing w:val="-14"/>
        </w:rPr>
        <w:t xml:space="preserve"> </w:t>
      </w:r>
      <w:r>
        <w:t>mjesta</w:t>
      </w:r>
      <w:r>
        <w:rPr>
          <w:spacing w:val="-14"/>
        </w:rPr>
        <w:t xml:space="preserve"> </w:t>
      </w:r>
      <w:r>
        <w:t>svrstana</w:t>
      </w:r>
      <w:r>
        <w:rPr>
          <w:spacing w:val="-14"/>
        </w:rPr>
        <w:t xml:space="preserve"> </w:t>
      </w:r>
      <w:r>
        <w:t>u</w:t>
      </w:r>
      <w:r>
        <w:rPr>
          <w:spacing w:val="-14"/>
        </w:rPr>
        <w:t xml:space="preserve"> </w:t>
      </w:r>
      <w:r>
        <w:t>kategorije,</w:t>
      </w:r>
      <w:r>
        <w:rPr>
          <w:spacing w:val="-14"/>
        </w:rPr>
        <w:t xml:space="preserve"> </w:t>
      </w:r>
      <w:r>
        <w:t>potkategorije,</w:t>
      </w:r>
      <w:r>
        <w:rPr>
          <w:spacing w:val="-14"/>
        </w:rPr>
        <w:t xml:space="preserve"> </w:t>
      </w:r>
      <w:r>
        <w:t>razine</w:t>
      </w:r>
      <w:r>
        <w:rPr>
          <w:spacing w:val="-14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klasifikacijske</w:t>
      </w:r>
      <w:r>
        <w:rPr>
          <w:spacing w:val="-14"/>
        </w:rPr>
        <w:t xml:space="preserve"> </w:t>
      </w:r>
      <w:r>
        <w:t>rangove. Sukladno</w:t>
      </w:r>
      <w:r>
        <w:rPr>
          <w:spacing w:val="-12"/>
        </w:rPr>
        <w:t xml:space="preserve"> </w:t>
      </w:r>
      <w:r>
        <w:t>članku</w:t>
      </w:r>
      <w:r>
        <w:rPr>
          <w:spacing w:val="-12"/>
        </w:rPr>
        <w:t xml:space="preserve"> </w:t>
      </w:r>
      <w:r>
        <w:t>9.</w:t>
      </w:r>
      <w:r>
        <w:rPr>
          <w:spacing w:val="-10"/>
        </w:rPr>
        <w:t xml:space="preserve"> </w:t>
      </w:r>
      <w:r>
        <w:t>Uredbe,</w:t>
      </w:r>
      <w:r>
        <w:rPr>
          <w:spacing w:val="-10"/>
        </w:rPr>
        <w:t xml:space="preserve"> </w:t>
      </w:r>
      <w:r>
        <w:t>važnost</w:t>
      </w:r>
      <w:r>
        <w:rPr>
          <w:spacing w:val="-12"/>
        </w:rPr>
        <w:t xml:space="preserve"> </w:t>
      </w:r>
      <w:r>
        <w:t>potkategorije</w:t>
      </w:r>
      <w:r>
        <w:rPr>
          <w:spacing w:val="-10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razine</w:t>
      </w:r>
      <w:r>
        <w:rPr>
          <w:spacing w:val="-12"/>
        </w:rPr>
        <w:t xml:space="preserve"> </w:t>
      </w:r>
      <w:r>
        <w:t>potkategorije</w:t>
      </w:r>
      <w:r>
        <w:rPr>
          <w:spacing w:val="-10"/>
        </w:rPr>
        <w:t xml:space="preserve"> </w:t>
      </w:r>
      <w:r>
        <w:t>radnog</w:t>
      </w:r>
      <w:r>
        <w:rPr>
          <w:spacing w:val="-12"/>
        </w:rPr>
        <w:t xml:space="preserve"> </w:t>
      </w:r>
      <w:r>
        <w:t>mjesta u</w:t>
      </w:r>
      <w:r>
        <w:rPr>
          <w:spacing w:val="-9"/>
        </w:rPr>
        <w:t xml:space="preserve"> </w:t>
      </w:r>
      <w:r>
        <w:t>ukupnoj</w:t>
      </w:r>
      <w:r>
        <w:rPr>
          <w:spacing w:val="-11"/>
        </w:rPr>
        <w:t xml:space="preserve"> </w:t>
      </w:r>
      <w:r>
        <w:t>klasifikaciji</w:t>
      </w:r>
      <w:r>
        <w:rPr>
          <w:spacing w:val="-11"/>
        </w:rPr>
        <w:t xml:space="preserve"> </w:t>
      </w:r>
      <w:r>
        <w:t>radnih</w:t>
      </w:r>
      <w:r>
        <w:rPr>
          <w:spacing w:val="-12"/>
        </w:rPr>
        <w:t xml:space="preserve"> </w:t>
      </w:r>
      <w:r>
        <w:t>mjesta</w:t>
      </w:r>
      <w:r>
        <w:rPr>
          <w:spacing w:val="-11"/>
        </w:rPr>
        <w:t xml:space="preserve"> </w:t>
      </w:r>
      <w:r>
        <w:t>određuje</w:t>
      </w:r>
      <w:r>
        <w:rPr>
          <w:spacing w:val="-12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klasifikacijskim</w:t>
      </w:r>
      <w:r>
        <w:rPr>
          <w:spacing w:val="-9"/>
        </w:rPr>
        <w:t xml:space="preserve"> </w:t>
      </w:r>
      <w:r>
        <w:t>rangom.</w:t>
      </w:r>
      <w:r>
        <w:rPr>
          <w:spacing w:val="-12"/>
        </w:rPr>
        <w:t xml:space="preserve"> </w:t>
      </w:r>
      <w:r>
        <w:t>Klasifikacijski rang je osnova za vrednovanje radnih mjesta, a radna mjesta grupirana su u 13 klasifikacijskih rangova.</w:t>
      </w:r>
    </w:p>
    <w:p w:rsidR="002521F2" w:rsidRDefault="002521F2" w:rsidP="00127B61">
      <w:pPr>
        <w:pStyle w:val="Tijeloteksta"/>
        <w:spacing w:before="1"/>
        <w:ind w:left="141" w:right="136" w:firstLine="707"/>
        <w:jc w:val="both"/>
      </w:pPr>
      <w:r>
        <w:t>Prilikom uređivanja plaća, radna mjesta unutar pojedinog klasifikacijskog ranga mogu biti jednako ili različito vrednovama.</w:t>
      </w:r>
    </w:p>
    <w:p w:rsidR="00127B61" w:rsidRDefault="00127B61" w:rsidP="00127B61">
      <w:pPr>
        <w:pStyle w:val="Tijeloteksta"/>
        <w:ind w:left="141" w:right="139" w:firstLine="707"/>
        <w:jc w:val="both"/>
      </w:pPr>
      <w:r>
        <w:t>Uredbom</w:t>
      </w:r>
      <w:r>
        <w:rPr>
          <w:spacing w:val="-2"/>
        </w:rPr>
        <w:t xml:space="preserve"> </w:t>
      </w:r>
      <w:r>
        <w:t>nisu</w:t>
      </w:r>
      <w:r>
        <w:rPr>
          <w:spacing w:val="-3"/>
        </w:rPr>
        <w:t xml:space="preserve"> </w:t>
      </w:r>
      <w:r>
        <w:t>propisani</w:t>
      </w:r>
      <w:r>
        <w:rPr>
          <w:spacing w:val="-1"/>
        </w:rPr>
        <w:t xml:space="preserve"> </w:t>
      </w:r>
      <w:r>
        <w:t>koeficijenti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pojedina radna</w:t>
      </w:r>
      <w:r>
        <w:rPr>
          <w:spacing w:val="-3"/>
        </w:rPr>
        <w:t xml:space="preserve"> </w:t>
      </w:r>
      <w:r>
        <w:t>mjesta,</w:t>
      </w:r>
      <w:r>
        <w:rPr>
          <w:spacing w:val="-3"/>
        </w:rPr>
        <w:t xml:space="preserve"> </w:t>
      </w:r>
      <w:r>
        <w:t>već</w:t>
      </w:r>
      <w:r>
        <w:rPr>
          <w:spacing w:val="-3"/>
        </w:rPr>
        <w:t xml:space="preserve"> </w:t>
      </w:r>
      <w:r>
        <w:t>je propisano da radna mjesta unutar pojedinog klasifikacijskog ranga mogu biti jednako ili različito vrednovana,</w:t>
      </w:r>
      <w:r>
        <w:rPr>
          <w:spacing w:val="-10"/>
        </w:rPr>
        <w:t xml:space="preserve"> </w:t>
      </w:r>
      <w:r>
        <w:t>ali</w:t>
      </w:r>
      <w:r>
        <w:rPr>
          <w:spacing w:val="-14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radna</w:t>
      </w:r>
      <w:r>
        <w:rPr>
          <w:spacing w:val="-12"/>
        </w:rPr>
        <w:t xml:space="preserve"> </w:t>
      </w:r>
      <w:r>
        <w:t>mjesta</w:t>
      </w:r>
      <w:r>
        <w:rPr>
          <w:spacing w:val="-9"/>
        </w:rPr>
        <w:t xml:space="preserve"> </w:t>
      </w:r>
      <w:r>
        <w:t>s</w:t>
      </w:r>
      <w:r>
        <w:rPr>
          <w:spacing w:val="-10"/>
        </w:rPr>
        <w:t xml:space="preserve"> </w:t>
      </w:r>
      <w:r>
        <w:t>klasifikacijskim</w:t>
      </w:r>
      <w:r>
        <w:rPr>
          <w:spacing w:val="-9"/>
        </w:rPr>
        <w:t xml:space="preserve"> </w:t>
      </w:r>
      <w:r>
        <w:t>rangom</w:t>
      </w:r>
      <w:r>
        <w:rPr>
          <w:spacing w:val="-9"/>
        </w:rPr>
        <w:t xml:space="preserve"> </w:t>
      </w:r>
      <w:r>
        <w:t>višeg</w:t>
      </w:r>
      <w:r>
        <w:rPr>
          <w:spacing w:val="-9"/>
        </w:rPr>
        <w:t xml:space="preserve"> </w:t>
      </w:r>
      <w:r>
        <w:t>rednog</w:t>
      </w:r>
      <w:r>
        <w:rPr>
          <w:spacing w:val="-12"/>
        </w:rPr>
        <w:t xml:space="preserve"> </w:t>
      </w:r>
      <w:r>
        <w:t>broja</w:t>
      </w:r>
      <w:r>
        <w:rPr>
          <w:spacing w:val="-12"/>
        </w:rPr>
        <w:t xml:space="preserve"> </w:t>
      </w:r>
      <w:r>
        <w:t>ne</w:t>
      </w:r>
      <w:r>
        <w:rPr>
          <w:spacing w:val="-14"/>
        </w:rPr>
        <w:t xml:space="preserve"> </w:t>
      </w:r>
      <w:r>
        <w:t>mogu biti vrednovana jednako ili više od radnih mjesta s klasifikacijskim rangom nižega rednog broja.</w:t>
      </w:r>
    </w:p>
    <w:sectPr w:rsidR="00127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61"/>
    <w:rsid w:val="00127B61"/>
    <w:rsid w:val="00197D32"/>
    <w:rsid w:val="002521F2"/>
    <w:rsid w:val="00E1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5E390-28A8-4A12-88F4-ED4BB27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27B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slov2">
    <w:name w:val="heading 2"/>
    <w:basedOn w:val="Normal"/>
    <w:link w:val="Naslov2Char"/>
    <w:uiPriority w:val="1"/>
    <w:semiHidden/>
    <w:unhideWhenUsed/>
    <w:qFormat/>
    <w:rsid w:val="00127B61"/>
    <w:pPr>
      <w:ind w:left="849"/>
      <w:jc w:val="both"/>
      <w:outlineLvl w:val="1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1"/>
    <w:semiHidden/>
    <w:rsid w:val="00127B61"/>
    <w:rPr>
      <w:rFonts w:ascii="Arial" w:eastAsia="Arial" w:hAnsi="Arial" w:cs="Arial"/>
      <w:b/>
      <w:bCs/>
      <w:sz w:val="24"/>
      <w:szCs w:val="24"/>
    </w:rPr>
  </w:style>
  <w:style w:type="paragraph" w:styleId="Tijeloteksta">
    <w:name w:val="Body Text"/>
    <w:basedOn w:val="Normal"/>
    <w:link w:val="TijelotekstaChar"/>
    <w:uiPriority w:val="1"/>
    <w:unhideWhenUsed/>
    <w:qFormat/>
    <w:rsid w:val="00127B61"/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127B61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2025-07-18T11:39:00Z</dcterms:created>
  <dcterms:modified xsi:type="dcterms:W3CDTF">2025-07-18T11:54:00Z</dcterms:modified>
</cp:coreProperties>
</file>